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208A" w:rsidRPr="003374AA" w:rsidRDefault="001B208A" w:rsidP="003374AA">
      <w:pPr>
        <w:pStyle w:val="3"/>
        <w:shd w:val="clear" w:color="auto" w:fill="FFFFFF"/>
        <w:jc w:val="center"/>
        <w:rPr>
          <w:b/>
          <w:color w:val="333333"/>
        </w:rPr>
      </w:pPr>
      <w:r w:rsidRPr="003374AA">
        <w:rPr>
          <w:b/>
          <w:color w:val="333333"/>
        </w:rPr>
        <w:t>湖南出台八项金融措施支持疫情防控和企业复工复产</w:t>
      </w:r>
    </w:p>
    <w:p w:rsidR="001B208A" w:rsidRPr="003374AA" w:rsidRDefault="001B208A" w:rsidP="003374AA">
      <w:pPr>
        <w:shd w:val="clear" w:color="auto" w:fill="EEEEEE"/>
        <w:spacing w:line="600" w:lineRule="atLeast"/>
        <w:jc w:val="center"/>
        <w:rPr>
          <w:color w:val="333333"/>
        </w:rPr>
      </w:pPr>
      <w:r>
        <w:rPr>
          <w:rStyle w:val="tys-main-zt-aa1"/>
          <w:color w:val="333333"/>
        </w:rPr>
        <w:t>湖南省财政厅网站</w:t>
      </w:r>
      <w:r>
        <w:rPr>
          <w:rStyle w:val="tys-main-zt-aa1"/>
          <w:color w:val="333333"/>
        </w:rPr>
        <w:t xml:space="preserve"> </w:t>
      </w:r>
      <w:r>
        <w:rPr>
          <w:rStyle w:val="tys-main-zt-aa1"/>
          <w:color w:val="333333"/>
        </w:rPr>
        <w:pict/>
      </w:r>
      <w:r>
        <w:rPr>
          <w:rStyle w:val="tys-main-zt-aa1"/>
          <w:color w:val="333333"/>
        </w:rPr>
        <w:t>czt.hunan.gov.cn</w:t>
      </w:r>
      <w:r>
        <w:rPr>
          <w:color w:val="333333"/>
        </w:rPr>
        <w:t xml:space="preserve"> </w:t>
      </w:r>
      <w:r>
        <w:rPr>
          <w:rStyle w:val="tys-main-zt-aa1"/>
          <w:color w:val="333333"/>
        </w:rPr>
        <w:t>时间：</w:t>
      </w:r>
      <w:r>
        <w:rPr>
          <w:rStyle w:val="tys-main-zt-aa1"/>
          <w:color w:val="333333"/>
        </w:rPr>
        <w:t xml:space="preserve"> 2020</w:t>
      </w:r>
      <w:r>
        <w:rPr>
          <w:rStyle w:val="tys-main-zt-aa1"/>
          <w:color w:val="333333"/>
        </w:rPr>
        <w:t>年</w:t>
      </w:r>
      <w:r>
        <w:rPr>
          <w:rStyle w:val="tys-main-zt-aa1"/>
          <w:color w:val="333333"/>
        </w:rPr>
        <w:t>02</w:t>
      </w:r>
      <w:r>
        <w:rPr>
          <w:rStyle w:val="tys-main-zt-aa1"/>
          <w:color w:val="333333"/>
        </w:rPr>
        <w:t>月</w:t>
      </w:r>
      <w:r>
        <w:rPr>
          <w:rStyle w:val="tys-main-zt-aa1"/>
          <w:color w:val="333333"/>
        </w:rPr>
        <w:t>10</w:t>
      </w:r>
      <w:r>
        <w:rPr>
          <w:rStyle w:val="tys-main-zt-aa1"/>
          <w:color w:val="333333"/>
        </w:rPr>
        <w:t>日</w:t>
      </w:r>
      <w:r>
        <w:rPr>
          <w:rStyle w:val="tys-main-zt-aa1"/>
          <w:color w:val="333333"/>
        </w:rPr>
        <w:t xml:space="preserve"> 13:45</w:t>
      </w:r>
      <w:r>
        <w:rPr>
          <w:color w:val="333333"/>
        </w:rPr>
        <w:t xml:space="preserve"> </w:t>
      </w:r>
      <w:r>
        <w:rPr>
          <w:rStyle w:val="tys-main-zt-aa1"/>
          <w:color w:val="333333"/>
        </w:rPr>
        <w:t>【字体：</w:t>
      </w:r>
      <w:r>
        <w:rPr>
          <w:rStyle w:val="tys-main-zt-aa1"/>
          <w:color w:val="333333"/>
        </w:rPr>
        <w:t xml:space="preserve"> </w:t>
      </w:r>
      <w:r>
        <w:rPr>
          <w:rStyle w:val="tys-main-zt-aa1"/>
          <w:color w:val="333333"/>
        </w:rPr>
        <w:t>大</w:t>
      </w:r>
      <w:r>
        <w:rPr>
          <w:rStyle w:val="tys-main-zt-aa1"/>
          <w:color w:val="333333"/>
        </w:rPr>
        <w:t xml:space="preserve"> </w:t>
      </w:r>
      <w:r>
        <w:rPr>
          <w:rStyle w:val="tys-main-zt-aa1"/>
          <w:color w:val="333333"/>
        </w:rPr>
        <w:t>中</w:t>
      </w:r>
      <w:r>
        <w:rPr>
          <w:rStyle w:val="tys-main-zt-aa1"/>
          <w:color w:val="333333"/>
        </w:rPr>
        <w:t xml:space="preserve"> </w:t>
      </w:r>
      <w:r>
        <w:rPr>
          <w:rStyle w:val="tys-main-zt-aa1"/>
          <w:color w:val="333333"/>
        </w:rPr>
        <w:t>小】</w:t>
      </w:r>
      <w:r>
        <w:rPr>
          <w:color w:val="333333"/>
        </w:rPr>
        <w:t xml:space="preserve"> </w:t>
      </w:r>
      <w:r>
        <w:rPr>
          <w:rFonts w:ascii="仿宋" w:eastAsia="仿宋" w:hAnsi="仿宋" w:hint="eastAsia"/>
          <w:color w:val="333333"/>
          <w:sz w:val="28"/>
          <w:szCs w:val="28"/>
        </w:rPr>
        <w:t>2月8日，中国人民银行长沙中心支行、湖南省财政厅、湖南省地方金融监管局、银保监会湖南监管局、证监会湖南监管局、国家外汇管理局湖南省分局联合出台相关文件，从加大信贷投放、降低融资成本、优化金融服务等八个方面支持疫情防控和企业复工复产。相关措施的实施期为文件印发之日起至疫情解除。</w:t>
      </w:r>
    </w:p>
    <w:p w:rsidR="00DC588E" w:rsidRDefault="003374AA" w:rsidP="00DC588E">
      <w:pPr>
        <w:shd w:val="clear" w:color="auto" w:fill="FFFFFF"/>
        <w:spacing w:line="480" w:lineRule="auto"/>
        <w:rPr>
          <w:rFonts w:ascii="仿宋" w:eastAsia="仿宋" w:hAnsi="仿宋" w:hint="eastAsia"/>
          <w:color w:val="333333"/>
          <w:sz w:val="28"/>
          <w:szCs w:val="28"/>
        </w:rPr>
      </w:pPr>
      <w:r w:rsidRPr="003374AA">
        <w:rPr>
          <w:rFonts w:hint="eastAsia"/>
          <w:b/>
          <w:color w:val="333333"/>
        </w:rPr>
        <w:t xml:space="preserve"> </w:t>
      </w:r>
      <w:r w:rsidR="001B208A" w:rsidRPr="003374AA">
        <w:rPr>
          <w:rFonts w:ascii="仿宋" w:eastAsia="仿宋" w:hAnsi="仿宋" w:hint="eastAsia"/>
          <w:b/>
          <w:color w:val="333333"/>
          <w:sz w:val="28"/>
          <w:szCs w:val="28"/>
        </w:rPr>
        <w:t>加大信贷投放</w:t>
      </w:r>
      <w:r w:rsidR="001B208A" w:rsidRPr="003374AA">
        <w:rPr>
          <w:rFonts w:ascii="仿宋" w:eastAsia="仿宋" w:hAnsi="仿宋" w:hint="eastAsia"/>
          <w:b/>
          <w:color w:val="333333"/>
          <w:sz w:val="28"/>
          <w:szCs w:val="28"/>
        </w:rPr>
        <w:t> </w:t>
      </w:r>
      <w:r w:rsidR="001B208A">
        <w:rPr>
          <w:rFonts w:ascii="仿宋" w:eastAsia="仿宋" w:hAnsi="仿宋" w:hint="eastAsia"/>
          <w:color w:val="333333"/>
          <w:sz w:val="28"/>
          <w:szCs w:val="28"/>
        </w:rPr>
        <w:t>各银行机构要加大对中小</w:t>
      </w:r>
      <w:proofErr w:type="gramStart"/>
      <w:r w:rsidR="001B208A">
        <w:rPr>
          <w:rFonts w:ascii="仿宋" w:eastAsia="仿宋" w:hAnsi="仿宋" w:hint="eastAsia"/>
          <w:color w:val="333333"/>
          <w:sz w:val="28"/>
          <w:szCs w:val="28"/>
        </w:rPr>
        <w:t>微企业</w:t>
      </w:r>
      <w:proofErr w:type="gramEnd"/>
      <w:r w:rsidR="001B208A">
        <w:rPr>
          <w:rFonts w:ascii="仿宋" w:eastAsia="仿宋" w:hAnsi="仿宋" w:hint="eastAsia"/>
          <w:color w:val="333333"/>
          <w:sz w:val="28"/>
          <w:szCs w:val="28"/>
        </w:rPr>
        <w:t xml:space="preserve">的信贷支持，确保新增贷款不低于上年同期。对受疫情影响较大的批发零售、住宿餐饮、物流运输、文化旅游等行业，以及有发展前景但暂时受困的企业，不得盲目抽贷、断贷、压贷。对受疫情影响严重的企业到期还款困难的，可展期或续贷。 </w:t>
      </w:r>
      <w:r w:rsidR="001B208A">
        <w:rPr>
          <w:rFonts w:ascii="仿宋" w:eastAsia="仿宋" w:hAnsi="仿宋" w:hint="eastAsia"/>
          <w:color w:val="333333"/>
        </w:rPr>
        <w:br/>
      </w:r>
      <w:r w:rsidR="001B208A">
        <w:rPr>
          <w:rFonts w:ascii="仿宋" w:eastAsia="仿宋" w:hAnsi="仿宋" w:hint="eastAsia"/>
          <w:color w:val="333333"/>
          <w:sz w:val="28"/>
          <w:szCs w:val="28"/>
        </w:rPr>
        <w:t xml:space="preserve">　　安排专项再贷款50亿元，支持长沙银行、华融湘江银行、长沙农商银行等3家地方法人机构向省级重点医用物品和生活物资名单企业提供优惠利率贷款。 </w:t>
      </w:r>
      <w:r w:rsidR="001B208A">
        <w:rPr>
          <w:rFonts w:ascii="仿宋" w:eastAsia="仿宋" w:hAnsi="仿宋" w:hint="eastAsia"/>
          <w:color w:val="333333"/>
        </w:rPr>
        <w:br/>
      </w:r>
      <w:r w:rsidR="001B208A">
        <w:rPr>
          <w:rFonts w:ascii="仿宋" w:eastAsia="仿宋" w:hAnsi="仿宋" w:hint="eastAsia"/>
          <w:color w:val="333333"/>
          <w:sz w:val="28"/>
          <w:szCs w:val="28"/>
        </w:rPr>
        <w:t xml:space="preserve">　　开发性、政策性银行和国有商业银行等9家全国性银行在湘机构要积极向上争取专项再贷款额度，主动对接我省纳入全国性重点医用物品和生活物资名单企业的信贷需求，加大支持力度。 </w:t>
      </w:r>
      <w:r w:rsidR="001B208A">
        <w:rPr>
          <w:rFonts w:ascii="仿宋" w:eastAsia="仿宋" w:hAnsi="仿宋" w:hint="eastAsia"/>
          <w:color w:val="333333"/>
        </w:rPr>
        <w:br/>
      </w:r>
      <w:r w:rsidR="001B208A">
        <w:rPr>
          <w:rFonts w:ascii="仿宋" w:eastAsia="仿宋" w:hAnsi="仿宋" w:hint="eastAsia"/>
          <w:color w:val="333333"/>
          <w:sz w:val="28"/>
          <w:szCs w:val="28"/>
        </w:rPr>
        <w:t xml:space="preserve">降低融资成本 </w:t>
      </w:r>
      <w:r w:rsidR="001B208A">
        <w:rPr>
          <w:rFonts w:ascii="仿宋" w:eastAsia="仿宋" w:hAnsi="仿宋" w:hint="eastAsia"/>
          <w:color w:val="333333"/>
        </w:rPr>
        <w:br/>
      </w:r>
      <w:r w:rsidR="001B208A">
        <w:rPr>
          <w:rFonts w:ascii="仿宋" w:eastAsia="仿宋" w:hAnsi="仿宋" w:hint="eastAsia"/>
          <w:color w:val="333333"/>
          <w:sz w:val="28"/>
          <w:szCs w:val="28"/>
        </w:rPr>
        <w:t xml:space="preserve">　　各银行机构要通过适当下调贷款利率、减免其他费用成本等方式，能减则减、能免则免，进一步降低企业综合融资成本。 </w:t>
      </w:r>
      <w:r w:rsidR="001B208A">
        <w:rPr>
          <w:rFonts w:ascii="仿宋" w:eastAsia="仿宋" w:hAnsi="仿宋" w:hint="eastAsia"/>
          <w:color w:val="333333"/>
        </w:rPr>
        <w:br/>
      </w:r>
      <w:r w:rsidR="001B208A">
        <w:rPr>
          <w:rFonts w:ascii="仿宋" w:eastAsia="仿宋" w:hAnsi="仿宋" w:hint="eastAsia"/>
          <w:color w:val="333333"/>
          <w:sz w:val="28"/>
          <w:szCs w:val="28"/>
        </w:rPr>
        <w:t xml:space="preserve">　　对受疫情影响较大的小</w:t>
      </w:r>
      <w:proofErr w:type="gramStart"/>
      <w:r w:rsidR="001B208A">
        <w:rPr>
          <w:rFonts w:ascii="仿宋" w:eastAsia="仿宋" w:hAnsi="仿宋" w:hint="eastAsia"/>
          <w:color w:val="333333"/>
          <w:sz w:val="28"/>
          <w:szCs w:val="28"/>
        </w:rPr>
        <w:t>微企业</w:t>
      </w:r>
      <w:proofErr w:type="gramEnd"/>
      <w:r w:rsidR="001B208A">
        <w:rPr>
          <w:rFonts w:ascii="仿宋" w:eastAsia="仿宋" w:hAnsi="仿宋" w:hint="eastAsia"/>
          <w:color w:val="333333"/>
          <w:sz w:val="28"/>
          <w:szCs w:val="28"/>
        </w:rPr>
        <w:t>新发放贷款利率原则上不高于本</w:t>
      </w:r>
      <w:r w:rsidR="001B208A">
        <w:rPr>
          <w:rFonts w:ascii="仿宋" w:eastAsia="仿宋" w:hAnsi="仿宋" w:hint="eastAsia"/>
          <w:color w:val="333333"/>
          <w:sz w:val="28"/>
          <w:szCs w:val="28"/>
        </w:rPr>
        <w:lastRenderedPageBreak/>
        <w:t>行同期全部小</w:t>
      </w:r>
      <w:proofErr w:type="gramStart"/>
      <w:r w:rsidR="001B208A">
        <w:rPr>
          <w:rFonts w:ascii="仿宋" w:eastAsia="仿宋" w:hAnsi="仿宋" w:hint="eastAsia"/>
          <w:color w:val="333333"/>
          <w:sz w:val="28"/>
          <w:szCs w:val="28"/>
        </w:rPr>
        <w:t>微企业</w:t>
      </w:r>
      <w:proofErr w:type="gramEnd"/>
      <w:r w:rsidR="001B208A">
        <w:rPr>
          <w:rFonts w:ascii="仿宋" w:eastAsia="仿宋" w:hAnsi="仿宋" w:hint="eastAsia"/>
          <w:color w:val="333333"/>
          <w:sz w:val="28"/>
          <w:szCs w:val="28"/>
        </w:rPr>
        <w:t>贷款加权平均利率，普</w:t>
      </w:r>
      <w:proofErr w:type="gramStart"/>
      <w:r w:rsidR="001B208A">
        <w:rPr>
          <w:rFonts w:ascii="仿宋" w:eastAsia="仿宋" w:hAnsi="仿宋" w:hint="eastAsia"/>
          <w:color w:val="333333"/>
          <w:sz w:val="28"/>
          <w:szCs w:val="28"/>
        </w:rPr>
        <w:t>惠型小微企业</w:t>
      </w:r>
      <w:proofErr w:type="gramEnd"/>
      <w:r w:rsidR="001B208A">
        <w:rPr>
          <w:rFonts w:ascii="仿宋" w:eastAsia="仿宋" w:hAnsi="仿宋" w:hint="eastAsia"/>
          <w:color w:val="333333"/>
          <w:sz w:val="28"/>
          <w:szCs w:val="28"/>
        </w:rPr>
        <w:t xml:space="preserve">贷款综合融资成本要较上年降低0.5个百分点。 </w:t>
      </w:r>
      <w:r w:rsidR="001B208A">
        <w:rPr>
          <w:rFonts w:ascii="仿宋" w:eastAsia="仿宋" w:hAnsi="仿宋" w:hint="eastAsia"/>
          <w:color w:val="333333"/>
        </w:rPr>
        <w:br/>
      </w:r>
      <w:r w:rsidR="001B208A">
        <w:rPr>
          <w:rFonts w:ascii="仿宋" w:eastAsia="仿宋" w:hAnsi="仿宋" w:hint="eastAsia"/>
          <w:color w:val="333333"/>
          <w:sz w:val="28"/>
          <w:szCs w:val="28"/>
        </w:rPr>
        <w:t xml:space="preserve">　　省财政对单个小</w:t>
      </w:r>
      <w:proofErr w:type="gramStart"/>
      <w:r w:rsidR="001B208A">
        <w:rPr>
          <w:rFonts w:ascii="仿宋" w:eastAsia="仿宋" w:hAnsi="仿宋" w:hint="eastAsia"/>
          <w:color w:val="333333"/>
          <w:sz w:val="28"/>
          <w:szCs w:val="28"/>
        </w:rPr>
        <w:t>微企业</w:t>
      </w:r>
      <w:proofErr w:type="gramEnd"/>
      <w:r w:rsidR="001B208A">
        <w:rPr>
          <w:rFonts w:ascii="仿宋" w:eastAsia="仿宋" w:hAnsi="仿宋" w:hint="eastAsia"/>
          <w:color w:val="333333"/>
          <w:sz w:val="28"/>
          <w:szCs w:val="28"/>
        </w:rPr>
        <w:t>贷款本金损失补偿比例由50%提高到60%，最高补偿金额由100万元提高到110万元。对列入专项再贷款和财政贴息名单的重点企业，各银行贷款利率上限为最近公布的1年期LPR减100个基点，由中央财政按50%给予贴息，企业实际融资成本应低于1.6%，鼓励金融机构以低于上限利率发放贷款。</w:t>
      </w:r>
      <w:r w:rsidR="001B208A">
        <w:rPr>
          <w:rFonts w:ascii="仿宋" w:eastAsia="仿宋" w:hAnsi="仿宋" w:hint="eastAsia"/>
          <w:color w:val="333333"/>
          <w:sz w:val="28"/>
          <w:szCs w:val="28"/>
        </w:rPr>
        <w:t> </w:t>
      </w:r>
    </w:p>
    <w:p w:rsidR="001B208A" w:rsidRPr="00DC588E" w:rsidRDefault="001B208A" w:rsidP="00DC588E">
      <w:pPr>
        <w:shd w:val="clear" w:color="auto" w:fill="FFFFFF"/>
        <w:spacing w:line="480" w:lineRule="auto"/>
        <w:rPr>
          <w:rFonts w:hint="eastAsia"/>
          <w:b/>
          <w:color w:val="333333"/>
        </w:rPr>
      </w:pPr>
      <w:r w:rsidRPr="00DC588E">
        <w:rPr>
          <w:rFonts w:ascii="仿宋" w:eastAsia="仿宋" w:hAnsi="仿宋" w:hint="eastAsia"/>
          <w:b/>
          <w:color w:val="333333"/>
          <w:sz w:val="28"/>
          <w:szCs w:val="28"/>
        </w:rPr>
        <w:t>优化金融服务</w:t>
      </w:r>
      <w:r w:rsidRPr="00DC588E">
        <w:rPr>
          <w:rFonts w:ascii="仿宋" w:eastAsia="仿宋" w:hAnsi="仿宋" w:hint="eastAsia"/>
          <w:b/>
          <w:color w:val="333333"/>
          <w:sz w:val="28"/>
          <w:szCs w:val="28"/>
        </w:rPr>
        <w:t> </w:t>
      </w:r>
      <w:bookmarkStart w:id="0" w:name="_GoBack"/>
      <w:bookmarkEnd w:id="0"/>
      <w:r>
        <w:rPr>
          <w:rFonts w:ascii="仿宋" w:eastAsia="仿宋" w:hAnsi="仿宋" w:hint="eastAsia"/>
          <w:color w:val="333333"/>
          <w:sz w:val="28"/>
          <w:szCs w:val="28"/>
        </w:rPr>
        <w:t xml:space="preserve">各银行机构通过线上服务等方式为企业提供贷款审批、资金结算等服务，特事特办，急事急办，快速响应。 </w:t>
      </w:r>
      <w:r>
        <w:rPr>
          <w:rFonts w:ascii="仿宋" w:eastAsia="仿宋" w:hAnsi="仿宋" w:hint="eastAsia"/>
          <w:color w:val="333333"/>
        </w:rPr>
        <w:br/>
      </w:r>
      <w:r>
        <w:rPr>
          <w:rFonts w:ascii="仿宋" w:eastAsia="仿宋" w:hAnsi="仿宋" w:hint="eastAsia"/>
          <w:color w:val="333333"/>
          <w:sz w:val="28"/>
          <w:szCs w:val="28"/>
        </w:rPr>
        <w:t xml:space="preserve">通过专项再贷款发放的优惠利率贷款原则上不超过24小时，最长不超过48小时。开通绿色通道，对因防疫急需开户而手续不全的，银行可向当地人民银行备案后先开立后补报、先开立后核准。因防疫开立的非企业类单位结算账户，力争账户开立之日即可办理付款业务。持续深入开展“百行进万企”专项行动，快速了解企业受疫情影响情况及金融需求，精准对接。 </w:t>
      </w:r>
      <w:r>
        <w:rPr>
          <w:rFonts w:ascii="仿宋" w:eastAsia="仿宋" w:hAnsi="仿宋" w:hint="eastAsia"/>
          <w:color w:val="333333"/>
        </w:rPr>
        <w:br/>
      </w:r>
      <w:r>
        <w:rPr>
          <w:rFonts w:ascii="仿宋" w:eastAsia="仿宋" w:hAnsi="仿宋" w:hint="eastAsia"/>
          <w:color w:val="333333"/>
          <w:sz w:val="28"/>
          <w:szCs w:val="28"/>
        </w:rPr>
        <w:t>对受疫情影响的出险客户优先办理保险理赔，做到应赔尽赔快赔。加大能为疫情防控提供保险保障的产品推广，可在重疾险等健康保险产品中扩展承保新型冠状病毒感染肺炎责任，有效提供保险供给。</w:t>
      </w:r>
      <w:r>
        <w:rPr>
          <w:rFonts w:ascii="仿宋" w:eastAsia="仿宋" w:hAnsi="仿宋" w:hint="eastAsia"/>
          <w:color w:val="333333"/>
          <w:sz w:val="28"/>
          <w:szCs w:val="28"/>
        </w:rPr>
        <w:t> </w:t>
      </w:r>
    </w:p>
    <w:p w:rsidR="001B208A" w:rsidRDefault="001B208A" w:rsidP="001B208A">
      <w:pPr>
        <w:pStyle w:val="2"/>
        <w:shd w:val="clear" w:color="auto" w:fill="FFFFFF"/>
        <w:spacing w:before="0" w:after="210" w:line="480" w:lineRule="auto"/>
        <w:rPr>
          <w:rFonts w:ascii="仿宋" w:eastAsia="仿宋" w:hAnsi="仿宋"/>
          <w:color w:val="333333"/>
        </w:rPr>
      </w:pPr>
    </w:p>
    <w:p w:rsidR="001B208A" w:rsidRDefault="001B208A" w:rsidP="001B208A">
      <w:pPr>
        <w:pStyle w:val="2"/>
        <w:shd w:val="clear" w:color="auto" w:fill="FFFFFF"/>
        <w:spacing w:before="0" w:after="210" w:line="480" w:lineRule="auto"/>
        <w:jc w:val="center"/>
        <w:rPr>
          <w:rFonts w:ascii="仿宋" w:eastAsia="仿宋" w:hAnsi="仿宋" w:hint="eastAsia"/>
          <w:color w:val="333333"/>
        </w:rPr>
      </w:pPr>
      <w:r>
        <w:rPr>
          <w:rFonts w:ascii="仿宋" w:eastAsia="仿宋" w:hAnsi="仿宋" w:hint="eastAsia"/>
          <w:color w:val="333333"/>
          <w:sz w:val="28"/>
          <w:szCs w:val="28"/>
        </w:rPr>
        <w:t>实行审慎宽容监管</w:t>
      </w:r>
      <w:r>
        <w:rPr>
          <w:rFonts w:ascii="仿宋" w:eastAsia="仿宋" w:hAnsi="仿宋" w:hint="eastAsia"/>
          <w:color w:val="333333"/>
          <w:sz w:val="28"/>
          <w:szCs w:val="28"/>
        </w:rPr>
        <w:t> </w:t>
      </w:r>
    </w:p>
    <w:p w:rsidR="001B208A" w:rsidRPr="001B208A" w:rsidRDefault="001B208A" w:rsidP="001B208A">
      <w:pPr>
        <w:pStyle w:val="2"/>
        <w:shd w:val="clear" w:color="auto" w:fill="FFFFFF"/>
        <w:spacing w:before="0" w:after="210" w:line="480" w:lineRule="auto"/>
        <w:rPr>
          <w:rFonts w:ascii="仿宋" w:eastAsia="仿宋" w:hAnsi="仿宋" w:hint="eastAsia"/>
          <w:color w:val="333333"/>
        </w:rPr>
      </w:pPr>
      <w:r>
        <w:rPr>
          <w:rFonts w:ascii="仿宋" w:eastAsia="仿宋" w:hAnsi="仿宋" w:hint="eastAsia"/>
          <w:color w:val="333333"/>
          <w:sz w:val="28"/>
          <w:szCs w:val="28"/>
        </w:rPr>
        <w:t xml:space="preserve">　对因感染新型肺炎住院治疗或隔离人员、疫情防控需要隔离观察人员和参加疫情防控工作人员，因疫情影响未能及时还款的，相关逾期贷款可不作为逾期记录。对上述三类人员以及受疫情影响暂时失去收入来源的人群，灵活调整住房按揭、信用卡等个人信贷还款安排，合理延后还款期限。 </w:t>
      </w:r>
      <w:r>
        <w:rPr>
          <w:rFonts w:ascii="仿宋" w:eastAsia="仿宋" w:hAnsi="仿宋" w:hint="eastAsia"/>
          <w:color w:val="333333"/>
        </w:rPr>
        <w:br/>
      </w:r>
      <w:r>
        <w:rPr>
          <w:rFonts w:ascii="仿宋" w:eastAsia="仿宋" w:hAnsi="仿宋" w:hint="eastAsia"/>
          <w:color w:val="333333"/>
          <w:sz w:val="28"/>
          <w:szCs w:val="28"/>
        </w:rPr>
        <w:t>感染新型肺炎的个人创业担保贷款可展期一年，继续享受财政贴息支持。对受疫情影响暂时失去收入来源的个人和企业，</w:t>
      </w:r>
      <w:proofErr w:type="gramStart"/>
      <w:r>
        <w:rPr>
          <w:rFonts w:ascii="仿宋" w:eastAsia="仿宋" w:hAnsi="仿宋" w:hint="eastAsia"/>
          <w:color w:val="333333"/>
          <w:sz w:val="28"/>
          <w:szCs w:val="28"/>
        </w:rPr>
        <w:t xml:space="preserve">可　　</w:t>
      </w:r>
      <w:proofErr w:type="gramEnd"/>
      <w:r>
        <w:rPr>
          <w:rFonts w:ascii="仿宋" w:eastAsia="仿宋" w:hAnsi="仿宋" w:hint="eastAsia"/>
          <w:color w:val="333333"/>
          <w:sz w:val="28"/>
          <w:szCs w:val="28"/>
        </w:rPr>
        <w:t xml:space="preserve">依调整后的还款安排，向征信系统报送相关信用记录。 </w:t>
      </w:r>
      <w:r>
        <w:rPr>
          <w:rFonts w:ascii="仿宋" w:eastAsia="仿宋" w:hAnsi="仿宋" w:hint="eastAsia"/>
          <w:color w:val="333333"/>
        </w:rPr>
        <w:br/>
      </w:r>
      <w:r>
        <w:rPr>
          <w:rFonts w:ascii="仿宋" w:eastAsia="仿宋" w:hAnsi="仿宋" w:hint="eastAsia"/>
          <w:color w:val="333333"/>
          <w:sz w:val="28"/>
          <w:szCs w:val="28"/>
        </w:rPr>
        <w:t>支持受疫情影响，按期披露业绩预告、快报或定期报告有困难的企业，依据证监会及所在交易场所有关制度安排，申请延期办理。</w:t>
      </w:r>
      <w:r>
        <w:rPr>
          <w:rFonts w:ascii="仿宋" w:eastAsia="仿宋" w:hAnsi="仿宋" w:hint="eastAsia"/>
          <w:color w:val="333333"/>
          <w:sz w:val="28"/>
          <w:szCs w:val="28"/>
        </w:rPr>
        <w:t> </w:t>
      </w:r>
    </w:p>
    <w:p w:rsidR="001B208A" w:rsidRDefault="001B208A" w:rsidP="001B208A">
      <w:pPr>
        <w:pStyle w:val="2"/>
        <w:shd w:val="clear" w:color="auto" w:fill="FFFFFF"/>
        <w:spacing w:before="0" w:after="210" w:line="480" w:lineRule="auto"/>
        <w:rPr>
          <w:rFonts w:ascii="仿宋" w:eastAsia="仿宋" w:hAnsi="仿宋"/>
          <w:color w:val="333333"/>
        </w:rPr>
      </w:pPr>
    </w:p>
    <w:p w:rsidR="001B208A" w:rsidRPr="001B208A" w:rsidRDefault="001B208A" w:rsidP="001B208A">
      <w:pPr>
        <w:pStyle w:val="2"/>
        <w:shd w:val="clear" w:color="auto" w:fill="FFFFFF"/>
        <w:spacing w:before="0" w:after="210" w:line="480" w:lineRule="auto"/>
        <w:ind w:left="138" w:hangingChars="49" w:hanging="138"/>
        <w:jc w:val="left"/>
        <w:rPr>
          <w:rFonts w:ascii="仿宋" w:eastAsia="仿宋" w:hAnsi="仿宋" w:hint="eastAsia"/>
          <w:color w:val="333333"/>
          <w:sz w:val="28"/>
          <w:szCs w:val="28"/>
        </w:rPr>
      </w:pPr>
      <w:r>
        <w:rPr>
          <w:rFonts w:ascii="仿宋" w:eastAsia="仿宋" w:hAnsi="仿宋" w:hint="eastAsia"/>
          <w:color w:val="333333"/>
          <w:sz w:val="28"/>
          <w:szCs w:val="28"/>
        </w:rPr>
        <w:lastRenderedPageBreak/>
        <w:t xml:space="preserve">发挥政府性融资担保体系作用 </w:t>
      </w:r>
      <w:r>
        <w:rPr>
          <w:rFonts w:ascii="仿宋" w:eastAsia="仿宋" w:hAnsi="仿宋" w:hint="eastAsia"/>
          <w:color w:val="333333"/>
          <w:sz w:val="28"/>
          <w:szCs w:val="28"/>
        </w:rPr>
        <w:t xml:space="preserve">                                  </w:t>
      </w:r>
      <w:r>
        <w:rPr>
          <w:rFonts w:ascii="仿宋" w:eastAsia="仿宋" w:hAnsi="仿宋" w:hint="eastAsia"/>
          <w:color w:val="333333"/>
          <w:sz w:val="28"/>
          <w:szCs w:val="28"/>
        </w:rPr>
        <w:t>各级政府性融资担保机构要通过取消反担保要求、降低担保费率等措施，为受疫情影响较大的小</w:t>
      </w:r>
      <w:proofErr w:type="gramStart"/>
      <w:r>
        <w:rPr>
          <w:rFonts w:ascii="仿宋" w:eastAsia="仿宋" w:hAnsi="仿宋" w:hint="eastAsia"/>
          <w:color w:val="333333"/>
          <w:sz w:val="28"/>
          <w:szCs w:val="28"/>
        </w:rPr>
        <w:t>微企业</w:t>
      </w:r>
      <w:proofErr w:type="gramEnd"/>
      <w:r>
        <w:rPr>
          <w:rFonts w:ascii="仿宋" w:eastAsia="仿宋" w:hAnsi="仿宋" w:hint="eastAsia"/>
          <w:color w:val="333333"/>
          <w:sz w:val="28"/>
          <w:szCs w:val="28"/>
        </w:rPr>
        <w:t>提供担保支持，同级</w:t>
      </w:r>
      <w:proofErr w:type="gramStart"/>
      <w:r>
        <w:rPr>
          <w:rFonts w:ascii="仿宋" w:eastAsia="仿宋" w:hAnsi="仿宋" w:hint="eastAsia"/>
          <w:color w:val="333333"/>
          <w:sz w:val="28"/>
          <w:szCs w:val="28"/>
        </w:rPr>
        <w:t>财政视降费</w:t>
      </w:r>
      <w:proofErr w:type="gramEnd"/>
      <w:r>
        <w:rPr>
          <w:rFonts w:ascii="仿宋" w:eastAsia="仿宋" w:hAnsi="仿宋" w:hint="eastAsia"/>
          <w:color w:val="333333"/>
          <w:sz w:val="28"/>
          <w:szCs w:val="28"/>
        </w:rPr>
        <w:t xml:space="preserve">减收情况给予适当补助。 </w:t>
      </w:r>
      <w:r w:rsidRPr="001B208A">
        <w:rPr>
          <w:rFonts w:ascii="仿宋" w:eastAsia="仿宋" w:hAnsi="仿宋" w:hint="eastAsia"/>
          <w:color w:val="333333"/>
          <w:sz w:val="28"/>
          <w:szCs w:val="28"/>
        </w:rPr>
        <w:br/>
      </w:r>
      <w:r>
        <w:rPr>
          <w:rFonts w:ascii="仿宋" w:eastAsia="仿宋" w:hAnsi="仿宋" w:hint="eastAsia"/>
          <w:color w:val="333333"/>
          <w:sz w:val="28"/>
          <w:szCs w:val="28"/>
        </w:rPr>
        <w:t xml:space="preserve">　　省融资担保集团对纳入再担保体系的政府性融资担保机构收取的再担保费减少50%。对确无还款能力的小微企业，各级政府性融资担保机构应及时代偿，视疫情影响情况适当延长追偿时限，符合条件的按规定及时核销代偿损失。 </w:t>
      </w:r>
      <w:r w:rsidRPr="001B208A">
        <w:rPr>
          <w:rFonts w:ascii="仿宋" w:eastAsia="仿宋" w:hAnsi="仿宋" w:hint="eastAsia"/>
          <w:color w:val="333333"/>
          <w:sz w:val="28"/>
          <w:szCs w:val="28"/>
        </w:rPr>
        <w:br/>
      </w:r>
      <w:r>
        <w:rPr>
          <w:rFonts w:ascii="仿宋" w:eastAsia="仿宋" w:hAnsi="仿宋" w:hint="eastAsia"/>
          <w:color w:val="333333"/>
          <w:sz w:val="28"/>
          <w:szCs w:val="28"/>
        </w:rPr>
        <w:t xml:space="preserve">拓宽企业直接融资渠道 </w:t>
      </w:r>
      <w:r w:rsidRPr="001B208A">
        <w:rPr>
          <w:rFonts w:ascii="仿宋" w:eastAsia="仿宋" w:hAnsi="仿宋" w:hint="eastAsia"/>
          <w:color w:val="333333"/>
          <w:sz w:val="28"/>
          <w:szCs w:val="28"/>
        </w:rPr>
        <w:br/>
      </w:r>
      <w:r>
        <w:rPr>
          <w:rFonts w:ascii="仿宋" w:eastAsia="仿宋" w:hAnsi="仿宋" w:hint="eastAsia"/>
          <w:color w:val="333333"/>
          <w:sz w:val="28"/>
          <w:szCs w:val="28"/>
        </w:rPr>
        <w:t xml:space="preserve">　　鼓励和支持企业通过发行公司信用债、资产支持证券等尽快募集资金复工复产。建立疫情防控重点上市后备企业名录，对相关企业在辅导备案、验收等方面给予优先安排，支持符合条件的企业尽快通过首次公开发行股票上市融资。 </w:t>
      </w:r>
      <w:r w:rsidRPr="001B208A">
        <w:rPr>
          <w:rFonts w:ascii="仿宋" w:eastAsia="仿宋" w:hAnsi="仿宋" w:hint="eastAsia"/>
          <w:color w:val="333333"/>
          <w:sz w:val="28"/>
          <w:szCs w:val="28"/>
        </w:rPr>
        <w:br/>
      </w:r>
      <w:r>
        <w:rPr>
          <w:rFonts w:ascii="仿宋" w:eastAsia="仿宋" w:hAnsi="仿宋" w:hint="eastAsia"/>
          <w:color w:val="333333"/>
          <w:sz w:val="28"/>
          <w:szCs w:val="28"/>
        </w:rPr>
        <w:t>疫情防控期间，证券机构对防疫物资重点生产企业上市、发债降低中介服务费的，省财政优先纳入融资创新奖励范围。对拟在沪深证券交易所上市、“新三板”挂牌的防疫物资重点生产企业，省财政优先给予直接融资补助。对发行中小企业集合债、私募债、私募可转债的防疫物资重点生产企业，省财政优先给予利息补助。对投资于省内防疫物资重点生产企业的股权投资机构，省财政优先给予补助。防疫物资重点生产企业到湖南股权交易所挂牌的，免收挂牌费。</w:t>
      </w:r>
      <w:r>
        <w:rPr>
          <w:rFonts w:ascii="仿宋" w:eastAsia="仿宋" w:hAnsi="仿宋" w:hint="eastAsia"/>
          <w:color w:val="333333"/>
          <w:sz w:val="28"/>
          <w:szCs w:val="28"/>
        </w:rPr>
        <w:t> </w:t>
      </w:r>
    </w:p>
    <w:p w:rsidR="001B208A" w:rsidRDefault="001B208A" w:rsidP="001B208A">
      <w:pPr>
        <w:pStyle w:val="2"/>
        <w:shd w:val="clear" w:color="auto" w:fill="FFFFFF"/>
        <w:spacing w:before="0" w:after="210" w:line="480" w:lineRule="auto"/>
        <w:jc w:val="left"/>
        <w:rPr>
          <w:rFonts w:ascii="仿宋" w:eastAsia="仿宋" w:hAnsi="仿宋"/>
          <w:color w:val="333333"/>
        </w:rPr>
      </w:pPr>
    </w:p>
    <w:p w:rsidR="001B208A" w:rsidRDefault="001B208A" w:rsidP="001B208A">
      <w:pPr>
        <w:pStyle w:val="2"/>
        <w:shd w:val="clear" w:color="auto" w:fill="FFFFFF"/>
        <w:spacing w:before="0" w:after="210" w:line="480" w:lineRule="auto"/>
        <w:jc w:val="center"/>
        <w:rPr>
          <w:rFonts w:ascii="仿宋" w:eastAsia="仿宋" w:hAnsi="仿宋" w:hint="eastAsia"/>
          <w:color w:val="333333"/>
        </w:rPr>
      </w:pPr>
      <w:r>
        <w:rPr>
          <w:rFonts w:ascii="仿宋" w:eastAsia="仿宋" w:hAnsi="仿宋" w:hint="eastAsia"/>
          <w:color w:val="333333"/>
          <w:sz w:val="28"/>
          <w:szCs w:val="28"/>
        </w:rPr>
        <w:lastRenderedPageBreak/>
        <w:t xml:space="preserve">建立重点项目和重点企业名单库 </w:t>
      </w:r>
    </w:p>
    <w:p w:rsidR="001B208A" w:rsidRDefault="001B208A" w:rsidP="001B208A">
      <w:pPr>
        <w:pStyle w:val="2"/>
        <w:shd w:val="clear" w:color="auto" w:fill="FFFFFF"/>
        <w:spacing w:before="0" w:after="210" w:line="480" w:lineRule="auto"/>
        <w:jc w:val="left"/>
        <w:rPr>
          <w:rFonts w:ascii="宋体" w:eastAsia="宋体" w:hAnsi="宋体" w:hint="eastAsia"/>
          <w:color w:val="333333"/>
        </w:rPr>
      </w:pPr>
      <w:r>
        <w:rPr>
          <w:rFonts w:ascii="仿宋" w:eastAsia="仿宋" w:hAnsi="仿宋" w:hint="eastAsia"/>
          <w:color w:val="333333"/>
          <w:sz w:val="28"/>
          <w:szCs w:val="28"/>
        </w:rPr>
        <w:t xml:space="preserve">　　人民银行长沙中心支行配合政府有关部门对全省复工复产的重大建设项目、重点工业企业、重点医用物品和生活物资企业等建立重点名单库，及时向银行机构发布，督促银行通过融资对接会、线上平台等方式，掌握相关融资需求，主动对接，全力做好融资服务保障。</w:t>
      </w:r>
      <w:r>
        <w:rPr>
          <w:rFonts w:ascii="仿宋" w:eastAsia="仿宋" w:hAnsi="仿宋" w:hint="eastAsia"/>
          <w:color w:val="333333"/>
          <w:sz w:val="28"/>
          <w:szCs w:val="28"/>
        </w:rPr>
        <w:t> </w:t>
      </w:r>
    </w:p>
    <w:p w:rsidR="001B208A" w:rsidRDefault="001B208A" w:rsidP="001B208A">
      <w:pPr>
        <w:pStyle w:val="2"/>
        <w:shd w:val="clear" w:color="auto" w:fill="FFFFFF"/>
        <w:spacing w:before="0" w:after="210" w:line="480" w:lineRule="auto"/>
        <w:rPr>
          <w:rFonts w:ascii="仿宋" w:eastAsia="仿宋" w:hAnsi="仿宋"/>
          <w:color w:val="333333"/>
        </w:rPr>
      </w:pPr>
    </w:p>
    <w:p w:rsidR="001B208A" w:rsidRDefault="001B208A" w:rsidP="001B208A">
      <w:pPr>
        <w:pStyle w:val="2"/>
        <w:shd w:val="clear" w:color="auto" w:fill="FFFFFF"/>
        <w:spacing w:before="0" w:after="210" w:line="480" w:lineRule="auto"/>
        <w:jc w:val="center"/>
        <w:rPr>
          <w:rFonts w:ascii="仿宋" w:eastAsia="仿宋" w:hAnsi="仿宋" w:hint="eastAsia"/>
          <w:color w:val="333333"/>
        </w:rPr>
      </w:pPr>
      <w:r>
        <w:rPr>
          <w:rFonts w:ascii="仿宋" w:eastAsia="仿宋" w:hAnsi="仿宋" w:hint="eastAsia"/>
          <w:color w:val="333333"/>
          <w:sz w:val="28"/>
          <w:szCs w:val="28"/>
        </w:rPr>
        <w:t xml:space="preserve">改善外汇管理和跨境人民币服务 </w:t>
      </w:r>
    </w:p>
    <w:p w:rsidR="001B208A" w:rsidRDefault="001B208A" w:rsidP="001B208A">
      <w:pPr>
        <w:pStyle w:val="2"/>
        <w:shd w:val="clear" w:color="auto" w:fill="FFFFFF"/>
        <w:spacing w:before="0" w:after="240" w:line="480" w:lineRule="auto"/>
        <w:jc w:val="left"/>
        <w:rPr>
          <w:rFonts w:ascii="宋体" w:eastAsia="宋体" w:hAnsi="宋体" w:hint="eastAsia"/>
          <w:color w:val="333333"/>
        </w:rPr>
      </w:pPr>
      <w:r>
        <w:rPr>
          <w:rFonts w:ascii="仿宋" w:eastAsia="仿宋" w:hAnsi="仿宋" w:hint="eastAsia"/>
          <w:color w:val="333333"/>
          <w:sz w:val="28"/>
          <w:szCs w:val="28"/>
        </w:rPr>
        <w:t xml:space="preserve">　　简化疫情防控相关物资进口、捐赠等</w:t>
      </w:r>
      <w:proofErr w:type="gramStart"/>
      <w:r>
        <w:rPr>
          <w:rFonts w:ascii="仿宋" w:eastAsia="仿宋" w:hAnsi="仿宋" w:hint="eastAsia"/>
          <w:color w:val="333333"/>
          <w:sz w:val="28"/>
          <w:szCs w:val="28"/>
        </w:rPr>
        <w:t>进口购付汇流</w:t>
      </w:r>
      <w:proofErr w:type="gramEnd"/>
      <w:r>
        <w:rPr>
          <w:rFonts w:ascii="仿宋" w:eastAsia="仿宋" w:hAnsi="仿宋" w:hint="eastAsia"/>
          <w:color w:val="333333"/>
          <w:sz w:val="28"/>
          <w:szCs w:val="28"/>
        </w:rPr>
        <w:t xml:space="preserve">程和材料。 </w:t>
      </w:r>
      <w:r>
        <w:rPr>
          <w:rFonts w:ascii="仿宋" w:eastAsia="仿宋" w:hAnsi="仿宋" w:hint="eastAsia"/>
          <w:color w:val="333333"/>
        </w:rPr>
        <w:br/>
      </w:r>
      <w:r>
        <w:rPr>
          <w:rFonts w:ascii="仿宋" w:eastAsia="仿宋" w:hAnsi="仿宋" w:hint="eastAsia"/>
          <w:color w:val="333333"/>
          <w:sz w:val="28"/>
          <w:szCs w:val="28"/>
        </w:rPr>
        <w:t xml:space="preserve">　　对境内外因支援疫情汇入的外汇捐赠资金，暂停实施需开立捐赠外汇账户的要求，可直接通过受赠单位已有的经常项目外汇结算账户办理。与疫情防控有关的其他特殊外汇及人民币跨境业务，银行可先办理、后检查，并向所在地外汇局、人民银行报备。 </w:t>
      </w:r>
      <w:r>
        <w:rPr>
          <w:rFonts w:ascii="仿宋" w:eastAsia="仿宋" w:hAnsi="仿宋" w:hint="eastAsia"/>
          <w:color w:val="333333"/>
        </w:rPr>
        <w:br/>
      </w:r>
      <w:r>
        <w:rPr>
          <w:rFonts w:ascii="仿宋" w:eastAsia="仿宋" w:hAnsi="仿宋" w:hint="eastAsia"/>
          <w:color w:val="333333"/>
          <w:sz w:val="28"/>
          <w:szCs w:val="28"/>
        </w:rPr>
        <w:t xml:space="preserve">　　涉外企业办理与疫情防控相关的资本项目收入结汇支付时，无需事前、逐笔提交单证材料，由银行事后检查。 </w:t>
      </w:r>
      <w:r>
        <w:rPr>
          <w:rFonts w:ascii="仿宋" w:eastAsia="仿宋" w:hAnsi="仿宋" w:hint="eastAsia"/>
          <w:color w:val="333333"/>
        </w:rPr>
        <w:br/>
      </w:r>
      <w:r>
        <w:rPr>
          <w:rFonts w:ascii="仿宋" w:eastAsia="仿宋" w:hAnsi="仿宋" w:hint="eastAsia"/>
          <w:color w:val="333333"/>
          <w:sz w:val="28"/>
          <w:szCs w:val="28"/>
        </w:rPr>
        <w:t xml:space="preserve">　　对疫情防控所需的外债登记业务，可取消企业借用外债额度，</w:t>
      </w:r>
      <w:proofErr w:type="gramStart"/>
      <w:r>
        <w:rPr>
          <w:rFonts w:ascii="仿宋" w:eastAsia="仿宋" w:hAnsi="仿宋" w:hint="eastAsia"/>
          <w:color w:val="333333"/>
          <w:sz w:val="28"/>
          <w:szCs w:val="28"/>
        </w:rPr>
        <w:t>并可线上</w:t>
      </w:r>
      <w:proofErr w:type="gramEnd"/>
      <w:r>
        <w:rPr>
          <w:rFonts w:ascii="仿宋" w:eastAsia="仿宋" w:hAnsi="仿宋" w:hint="eastAsia"/>
          <w:color w:val="333333"/>
          <w:sz w:val="28"/>
          <w:szCs w:val="28"/>
        </w:rPr>
        <w:t xml:space="preserve">申请。 </w:t>
      </w:r>
    </w:p>
    <w:p w:rsidR="006F219A" w:rsidRPr="001B208A" w:rsidRDefault="006F219A"/>
    <w:sectPr w:rsidR="006F219A" w:rsidRPr="001B208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7ABC"/>
    <w:rsid w:val="00014B64"/>
    <w:rsid w:val="001B208A"/>
    <w:rsid w:val="001F23FB"/>
    <w:rsid w:val="00263ECD"/>
    <w:rsid w:val="003374AA"/>
    <w:rsid w:val="005627CA"/>
    <w:rsid w:val="006F219A"/>
    <w:rsid w:val="00897ABC"/>
    <w:rsid w:val="00DC58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semiHidden/>
    <w:unhideWhenUsed/>
    <w:qFormat/>
    <w:rsid w:val="00014B6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link w:val="3Char"/>
    <w:uiPriority w:val="9"/>
    <w:qFormat/>
    <w:rsid w:val="001F23FB"/>
    <w:pPr>
      <w:widowControl/>
      <w:spacing w:before="100" w:beforeAutospacing="1" w:after="100" w:afterAutospacing="1"/>
      <w:jc w:val="left"/>
      <w:outlineLvl w:val="2"/>
    </w:pPr>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1F23FB"/>
    <w:rPr>
      <w:rFonts w:ascii="宋体" w:eastAsia="宋体" w:hAnsi="宋体" w:cs="宋体"/>
      <w:kern w:val="0"/>
      <w:sz w:val="24"/>
      <w:szCs w:val="24"/>
    </w:rPr>
  </w:style>
  <w:style w:type="character" w:styleId="a3">
    <w:name w:val="Emphasis"/>
    <w:basedOn w:val="a0"/>
    <w:uiPriority w:val="20"/>
    <w:qFormat/>
    <w:rsid w:val="001F23FB"/>
    <w:rPr>
      <w:b w:val="0"/>
      <w:bCs w:val="0"/>
      <w:i w:val="0"/>
      <w:iCs w:val="0"/>
    </w:rPr>
  </w:style>
  <w:style w:type="character" w:styleId="a4">
    <w:name w:val="Strong"/>
    <w:basedOn w:val="a0"/>
    <w:uiPriority w:val="22"/>
    <w:qFormat/>
    <w:rsid w:val="001F23FB"/>
    <w:rPr>
      <w:b/>
      <w:bCs/>
    </w:rPr>
  </w:style>
  <w:style w:type="paragraph" w:styleId="a5">
    <w:name w:val="Normal (Web)"/>
    <w:basedOn w:val="a"/>
    <w:uiPriority w:val="99"/>
    <w:semiHidden/>
    <w:unhideWhenUsed/>
    <w:rsid w:val="001F23FB"/>
    <w:pPr>
      <w:widowControl/>
      <w:spacing w:before="100" w:beforeAutospacing="1" w:after="100" w:afterAutospacing="1"/>
      <w:jc w:val="left"/>
    </w:pPr>
    <w:rPr>
      <w:rFonts w:ascii="宋体" w:eastAsia="宋体" w:hAnsi="宋体" w:cs="宋体"/>
      <w:kern w:val="0"/>
      <w:sz w:val="24"/>
      <w:szCs w:val="24"/>
    </w:rPr>
  </w:style>
  <w:style w:type="character" w:customStyle="1" w:styleId="tys-main-zt-aa1">
    <w:name w:val="tys-main-zt-aa1"/>
    <w:basedOn w:val="a0"/>
    <w:rsid w:val="001F23FB"/>
  </w:style>
  <w:style w:type="paragraph" w:styleId="a6">
    <w:name w:val="Balloon Text"/>
    <w:basedOn w:val="a"/>
    <w:link w:val="Char"/>
    <w:uiPriority w:val="99"/>
    <w:semiHidden/>
    <w:unhideWhenUsed/>
    <w:rsid w:val="00263ECD"/>
    <w:rPr>
      <w:sz w:val="18"/>
      <w:szCs w:val="18"/>
    </w:rPr>
  </w:style>
  <w:style w:type="character" w:customStyle="1" w:styleId="Char">
    <w:name w:val="批注框文本 Char"/>
    <w:basedOn w:val="a0"/>
    <w:link w:val="a6"/>
    <w:uiPriority w:val="99"/>
    <w:semiHidden/>
    <w:rsid w:val="00263ECD"/>
    <w:rPr>
      <w:sz w:val="18"/>
      <w:szCs w:val="18"/>
    </w:rPr>
  </w:style>
  <w:style w:type="character" w:customStyle="1" w:styleId="2Char">
    <w:name w:val="标题 2 Char"/>
    <w:basedOn w:val="a0"/>
    <w:link w:val="2"/>
    <w:uiPriority w:val="9"/>
    <w:semiHidden/>
    <w:rsid w:val="00014B64"/>
    <w:rPr>
      <w:rFonts w:asciiTheme="majorHAnsi" w:eastAsiaTheme="majorEastAsia" w:hAnsiTheme="majorHAnsi" w:cstheme="majorBidi"/>
      <w:b/>
      <w:bCs/>
      <w:sz w:val="32"/>
      <w:szCs w:val="32"/>
    </w:rPr>
  </w:style>
  <w:style w:type="character" w:customStyle="1" w:styleId="richmediameta">
    <w:name w:val="rich_media_meta"/>
    <w:basedOn w:val="a0"/>
    <w:rsid w:val="00014B64"/>
  </w:style>
  <w:style w:type="character" w:styleId="a7">
    <w:name w:val="Hyperlink"/>
    <w:basedOn w:val="a0"/>
    <w:uiPriority w:val="99"/>
    <w:semiHidden/>
    <w:unhideWhenUsed/>
    <w:rsid w:val="00014B64"/>
    <w:rPr>
      <w:color w:val="0000FF"/>
      <w:u w:val="single"/>
    </w:rPr>
  </w:style>
  <w:style w:type="character" w:customStyle="1" w:styleId="apple-converted-space">
    <w:name w:val="apple-converted-space"/>
    <w:basedOn w:val="a0"/>
    <w:rsid w:val="00014B6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semiHidden/>
    <w:unhideWhenUsed/>
    <w:qFormat/>
    <w:rsid w:val="00014B6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link w:val="3Char"/>
    <w:uiPriority w:val="9"/>
    <w:qFormat/>
    <w:rsid w:val="001F23FB"/>
    <w:pPr>
      <w:widowControl/>
      <w:spacing w:before="100" w:beforeAutospacing="1" w:after="100" w:afterAutospacing="1"/>
      <w:jc w:val="left"/>
      <w:outlineLvl w:val="2"/>
    </w:pPr>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1F23FB"/>
    <w:rPr>
      <w:rFonts w:ascii="宋体" w:eastAsia="宋体" w:hAnsi="宋体" w:cs="宋体"/>
      <w:kern w:val="0"/>
      <w:sz w:val="24"/>
      <w:szCs w:val="24"/>
    </w:rPr>
  </w:style>
  <w:style w:type="character" w:styleId="a3">
    <w:name w:val="Emphasis"/>
    <w:basedOn w:val="a0"/>
    <w:uiPriority w:val="20"/>
    <w:qFormat/>
    <w:rsid w:val="001F23FB"/>
    <w:rPr>
      <w:b w:val="0"/>
      <w:bCs w:val="0"/>
      <w:i w:val="0"/>
      <w:iCs w:val="0"/>
    </w:rPr>
  </w:style>
  <w:style w:type="character" w:styleId="a4">
    <w:name w:val="Strong"/>
    <w:basedOn w:val="a0"/>
    <w:uiPriority w:val="22"/>
    <w:qFormat/>
    <w:rsid w:val="001F23FB"/>
    <w:rPr>
      <w:b/>
      <w:bCs/>
    </w:rPr>
  </w:style>
  <w:style w:type="paragraph" w:styleId="a5">
    <w:name w:val="Normal (Web)"/>
    <w:basedOn w:val="a"/>
    <w:uiPriority w:val="99"/>
    <w:semiHidden/>
    <w:unhideWhenUsed/>
    <w:rsid w:val="001F23FB"/>
    <w:pPr>
      <w:widowControl/>
      <w:spacing w:before="100" w:beforeAutospacing="1" w:after="100" w:afterAutospacing="1"/>
      <w:jc w:val="left"/>
    </w:pPr>
    <w:rPr>
      <w:rFonts w:ascii="宋体" w:eastAsia="宋体" w:hAnsi="宋体" w:cs="宋体"/>
      <w:kern w:val="0"/>
      <w:sz w:val="24"/>
      <w:szCs w:val="24"/>
    </w:rPr>
  </w:style>
  <w:style w:type="character" w:customStyle="1" w:styleId="tys-main-zt-aa1">
    <w:name w:val="tys-main-zt-aa1"/>
    <w:basedOn w:val="a0"/>
    <w:rsid w:val="001F23FB"/>
  </w:style>
  <w:style w:type="paragraph" w:styleId="a6">
    <w:name w:val="Balloon Text"/>
    <w:basedOn w:val="a"/>
    <w:link w:val="Char"/>
    <w:uiPriority w:val="99"/>
    <w:semiHidden/>
    <w:unhideWhenUsed/>
    <w:rsid w:val="00263ECD"/>
    <w:rPr>
      <w:sz w:val="18"/>
      <w:szCs w:val="18"/>
    </w:rPr>
  </w:style>
  <w:style w:type="character" w:customStyle="1" w:styleId="Char">
    <w:name w:val="批注框文本 Char"/>
    <w:basedOn w:val="a0"/>
    <w:link w:val="a6"/>
    <w:uiPriority w:val="99"/>
    <w:semiHidden/>
    <w:rsid w:val="00263ECD"/>
    <w:rPr>
      <w:sz w:val="18"/>
      <w:szCs w:val="18"/>
    </w:rPr>
  </w:style>
  <w:style w:type="character" w:customStyle="1" w:styleId="2Char">
    <w:name w:val="标题 2 Char"/>
    <w:basedOn w:val="a0"/>
    <w:link w:val="2"/>
    <w:uiPriority w:val="9"/>
    <w:semiHidden/>
    <w:rsid w:val="00014B64"/>
    <w:rPr>
      <w:rFonts w:asciiTheme="majorHAnsi" w:eastAsiaTheme="majorEastAsia" w:hAnsiTheme="majorHAnsi" w:cstheme="majorBidi"/>
      <w:b/>
      <w:bCs/>
      <w:sz w:val="32"/>
      <w:szCs w:val="32"/>
    </w:rPr>
  </w:style>
  <w:style w:type="character" w:customStyle="1" w:styleId="richmediameta">
    <w:name w:val="rich_media_meta"/>
    <w:basedOn w:val="a0"/>
    <w:rsid w:val="00014B64"/>
  </w:style>
  <w:style w:type="character" w:styleId="a7">
    <w:name w:val="Hyperlink"/>
    <w:basedOn w:val="a0"/>
    <w:uiPriority w:val="99"/>
    <w:semiHidden/>
    <w:unhideWhenUsed/>
    <w:rsid w:val="00014B64"/>
    <w:rPr>
      <w:color w:val="0000FF"/>
      <w:u w:val="single"/>
    </w:rPr>
  </w:style>
  <w:style w:type="character" w:customStyle="1" w:styleId="apple-converted-space">
    <w:name w:val="apple-converted-space"/>
    <w:basedOn w:val="a0"/>
    <w:rsid w:val="00014B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556575">
      <w:bodyDiv w:val="1"/>
      <w:marLeft w:val="0"/>
      <w:marRight w:val="0"/>
      <w:marTop w:val="0"/>
      <w:marBottom w:val="0"/>
      <w:divBdr>
        <w:top w:val="none" w:sz="0" w:space="0" w:color="auto"/>
        <w:left w:val="none" w:sz="0" w:space="0" w:color="auto"/>
        <w:bottom w:val="none" w:sz="0" w:space="0" w:color="auto"/>
        <w:right w:val="none" w:sz="0" w:space="0" w:color="auto"/>
      </w:divBdr>
      <w:divsChild>
        <w:div w:id="138039842">
          <w:marLeft w:val="0"/>
          <w:marRight w:val="0"/>
          <w:marTop w:val="0"/>
          <w:marBottom w:val="0"/>
          <w:divBdr>
            <w:top w:val="none" w:sz="0" w:space="0" w:color="auto"/>
            <w:left w:val="none" w:sz="0" w:space="0" w:color="auto"/>
            <w:bottom w:val="none" w:sz="0" w:space="0" w:color="auto"/>
            <w:right w:val="none" w:sz="0" w:space="0" w:color="auto"/>
          </w:divBdr>
          <w:divsChild>
            <w:div w:id="44451338">
              <w:marLeft w:val="0"/>
              <w:marRight w:val="0"/>
              <w:marTop w:val="0"/>
              <w:marBottom w:val="0"/>
              <w:divBdr>
                <w:top w:val="none" w:sz="0" w:space="0" w:color="auto"/>
                <w:left w:val="none" w:sz="0" w:space="0" w:color="auto"/>
                <w:bottom w:val="none" w:sz="0" w:space="0" w:color="auto"/>
                <w:right w:val="none" w:sz="0" w:space="0" w:color="auto"/>
              </w:divBdr>
              <w:divsChild>
                <w:div w:id="1594900414">
                  <w:marLeft w:val="0"/>
                  <w:marRight w:val="0"/>
                  <w:marTop w:val="0"/>
                  <w:marBottom w:val="0"/>
                  <w:divBdr>
                    <w:top w:val="none" w:sz="0" w:space="0" w:color="auto"/>
                    <w:left w:val="none" w:sz="0" w:space="0" w:color="auto"/>
                    <w:bottom w:val="none" w:sz="0" w:space="0" w:color="auto"/>
                    <w:right w:val="none" w:sz="0" w:space="0" w:color="auto"/>
                  </w:divBdr>
                  <w:divsChild>
                    <w:div w:id="668018196">
                      <w:marLeft w:val="0"/>
                      <w:marRight w:val="0"/>
                      <w:marTop w:val="0"/>
                      <w:marBottom w:val="300"/>
                      <w:divBdr>
                        <w:top w:val="none" w:sz="0" w:space="0" w:color="auto"/>
                        <w:left w:val="none" w:sz="0" w:space="0" w:color="auto"/>
                        <w:bottom w:val="none" w:sz="0" w:space="0" w:color="auto"/>
                        <w:right w:val="none" w:sz="0" w:space="0" w:color="auto"/>
                      </w:divBdr>
                      <w:divsChild>
                        <w:div w:id="1844390269">
                          <w:marLeft w:val="0"/>
                          <w:marRight w:val="0"/>
                          <w:marTop w:val="300"/>
                          <w:marBottom w:val="0"/>
                          <w:divBdr>
                            <w:top w:val="none" w:sz="0" w:space="0" w:color="auto"/>
                            <w:left w:val="none" w:sz="0" w:space="0" w:color="auto"/>
                            <w:bottom w:val="none" w:sz="0" w:space="0" w:color="auto"/>
                            <w:right w:val="none" w:sz="0" w:space="0" w:color="auto"/>
                          </w:divBdr>
                          <w:divsChild>
                            <w:div w:id="1833570004">
                              <w:marLeft w:val="0"/>
                              <w:marRight w:val="0"/>
                              <w:marTop w:val="0"/>
                              <w:marBottom w:val="0"/>
                              <w:divBdr>
                                <w:top w:val="none" w:sz="0" w:space="0" w:color="auto"/>
                                <w:left w:val="none" w:sz="0" w:space="0" w:color="auto"/>
                                <w:bottom w:val="none" w:sz="0" w:space="0" w:color="auto"/>
                                <w:right w:val="none" w:sz="0" w:space="0" w:color="auto"/>
                              </w:divBdr>
                              <w:divsChild>
                                <w:div w:id="75830570">
                                  <w:marLeft w:val="0"/>
                                  <w:marRight w:val="0"/>
                                  <w:marTop w:val="0"/>
                                  <w:marBottom w:val="0"/>
                                  <w:divBdr>
                                    <w:top w:val="none" w:sz="0" w:space="0" w:color="auto"/>
                                    <w:left w:val="none" w:sz="0" w:space="0" w:color="auto"/>
                                    <w:bottom w:val="none" w:sz="0" w:space="0" w:color="auto"/>
                                    <w:right w:val="none" w:sz="0" w:space="0" w:color="auto"/>
                                  </w:divBdr>
                                  <w:divsChild>
                                    <w:div w:id="848719092">
                                      <w:marLeft w:val="0"/>
                                      <w:marRight w:val="0"/>
                                      <w:marTop w:val="0"/>
                                      <w:marBottom w:val="0"/>
                                      <w:divBdr>
                                        <w:top w:val="none" w:sz="0" w:space="0" w:color="auto"/>
                                        <w:left w:val="none" w:sz="0" w:space="0" w:color="auto"/>
                                        <w:bottom w:val="none" w:sz="0" w:space="0" w:color="auto"/>
                                        <w:right w:val="none" w:sz="0" w:space="0" w:color="auto"/>
                                      </w:divBdr>
                                      <w:divsChild>
                                        <w:div w:id="1536306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6045031">
      <w:bodyDiv w:val="1"/>
      <w:marLeft w:val="0"/>
      <w:marRight w:val="0"/>
      <w:marTop w:val="0"/>
      <w:marBottom w:val="0"/>
      <w:divBdr>
        <w:top w:val="none" w:sz="0" w:space="0" w:color="auto"/>
        <w:left w:val="none" w:sz="0" w:space="0" w:color="auto"/>
        <w:bottom w:val="none" w:sz="0" w:space="0" w:color="auto"/>
        <w:right w:val="none" w:sz="0" w:space="0" w:color="auto"/>
      </w:divBdr>
      <w:divsChild>
        <w:div w:id="1888490738">
          <w:marLeft w:val="0"/>
          <w:marRight w:val="0"/>
          <w:marTop w:val="0"/>
          <w:marBottom w:val="0"/>
          <w:divBdr>
            <w:top w:val="none" w:sz="0" w:space="0" w:color="auto"/>
            <w:left w:val="none" w:sz="0" w:space="0" w:color="auto"/>
            <w:bottom w:val="none" w:sz="0" w:space="0" w:color="auto"/>
            <w:right w:val="none" w:sz="0" w:space="0" w:color="auto"/>
          </w:divBdr>
          <w:divsChild>
            <w:div w:id="1805610675">
              <w:marLeft w:val="0"/>
              <w:marRight w:val="0"/>
              <w:marTop w:val="0"/>
              <w:marBottom w:val="0"/>
              <w:divBdr>
                <w:top w:val="none" w:sz="0" w:space="0" w:color="auto"/>
                <w:left w:val="none" w:sz="0" w:space="0" w:color="auto"/>
                <w:bottom w:val="none" w:sz="0" w:space="0" w:color="auto"/>
                <w:right w:val="none" w:sz="0" w:space="0" w:color="auto"/>
              </w:divBdr>
              <w:divsChild>
                <w:div w:id="1754811930">
                  <w:marLeft w:val="0"/>
                  <w:marRight w:val="0"/>
                  <w:marTop w:val="0"/>
                  <w:marBottom w:val="0"/>
                  <w:divBdr>
                    <w:top w:val="none" w:sz="0" w:space="0" w:color="auto"/>
                    <w:left w:val="none" w:sz="0" w:space="0" w:color="auto"/>
                    <w:bottom w:val="none" w:sz="0" w:space="0" w:color="auto"/>
                    <w:right w:val="none" w:sz="0" w:space="0" w:color="auto"/>
                  </w:divBdr>
                  <w:divsChild>
                    <w:div w:id="1783987758">
                      <w:marLeft w:val="0"/>
                      <w:marRight w:val="0"/>
                      <w:marTop w:val="0"/>
                      <w:marBottom w:val="300"/>
                      <w:divBdr>
                        <w:top w:val="none" w:sz="0" w:space="0" w:color="auto"/>
                        <w:left w:val="none" w:sz="0" w:space="0" w:color="auto"/>
                        <w:bottom w:val="none" w:sz="0" w:space="0" w:color="auto"/>
                        <w:right w:val="none" w:sz="0" w:space="0" w:color="auto"/>
                      </w:divBdr>
                      <w:divsChild>
                        <w:div w:id="2014525577">
                          <w:marLeft w:val="0"/>
                          <w:marRight w:val="0"/>
                          <w:marTop w:val="300"/>
                          <w:marBottom w:val="0"/>
                          <w:divBdr>
                            <w:top w:val="none" w:sz="0" w:space="0" w:color="auto"/>
                            <w:left w:val="none" w:sz="0" w:space="0" w:color="auto"/>
                            <w:bottom w:val="none" w:sz="0" w:space="0" w:color="auto"/>
                            <w:right w:val="none" w:sz="0" w:space="0" w:color="auto"/>
                          </w:divBdr>
                          <w:divsChild>
                            <w:div w:id="1055927923">
                              <w:marLeft w:val="0"/>
                              <w:marRight w:val="0"/>
                              <w:marTop w:val="0"/>
                              <w:marBottom w:val="0"/>
                              <w:divBdr>
                                <w:top w:val="none" w:sz="0" w:space="0" w:color="auto"/>
                                <w:left w:val="none" w:sz="0" w:space="0" w:color="auto"/>
                                <w:bottom w:val="none" w:sz="0" w:space="0" w:color="auto"/>
                                <w:right w:val="none" w:sz="0" w:space="0" w:color="auto"/>
                              </w:divBdr>
                              <w:divsChild>
                                <w:div w:id="2065979760">
                                  <w:marLeft w:val="0"/>
                                  <w:marRight w:val="0"/>
                                  <w:marTop w:val="0"/>
                                  <w:marBottom w:val="0"/>
                                  <w:divBdr>
                                    <w:top w:val="none" w:sz="0" w:space="0" w:color="auto"/>
                                    <w:left w:val="none" w:sz="0" w:space="0" w:color="auto"/>
                                    <w:bottom w:val="none" w:sz="0" w:space="0" w:color="auto"/>
                                    <w:right w:val="none" w:sz="0" w:space="0" w:color="auto"/>
                                  </w:divBdr>
                                  <w:divsChild>
                                    <w:div w:id="70274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11009274">
      <w:bodyDiv w:val="1"/>
      <w:marLeft w:val="0"/>
      <w:marRight w:val="0"/>
      <w:marTop w:val="0"/>
      <w:marBottom w:val="0"/>
      <w:divBdr>
        <w:top w:val="none" w:sz="0" w:space="0" w:color="auto"/>
        <w:left w:val="none" w:sz="0" w:space="0" w:color="auto"/>
        <w:bottom w:val="none" w:sz="0" w:space="0" w:color="auto"/>
        <w:right w:val="none" w:sz="0" w:space="0" w:color="auto"/>
      </w:divBdr>
      <w:divsChild>
        <w:div w:id="1597900685">
          <w:marLeft w:val="0"/>
          <w:marRight w:val="0"/>
          <w:marTop w:val="0"/>
          <w:marBottom w:val="0"/>
          <w:divBdr>
            <w:top w:val="none" w:sz="0" w:space="0" w:color="auto"/>
            <w:left w:val="none" w:sz="0" w:space="0" w:color="auto"/>
            <w:bottom w:val="none" w:sz="0" w:space="0" w:color="auto"/>
            <w:right w:val="none" w:sz="0" w:space="0" w:color="auto"/>
          </w:divBdr>
          <w:divsChild>
            <w:div w:id="1123380601">
              <w:marLeft w:val="0"/>
              <w:marRight w:val="0"/>
              <w:marTop w:val="0"/>
              <w:marBottom w:val="0"/>
              <w:divBdr>
                <w:top w:val="none" w:sz="0" w:space="0" w:color="auto"/>
                <w:left w:val="none" w:sz="0" w:space="0" w:color="auto"/>
                <w:bottom w:val="none" w:sz="0" w:space="0" w:color="auto"/>
                <w:right w:val="none" w:sz="0" w:space="0" w:color="auto"/>
              </w:divBdr>
              <w:divsChild>
                <w:div w:id="1288970247">
                  <w:marLeft w:val="0"/>
                  <w:marRight w:val="0"/>
                  <w:marTop w:val="0"/>
                  <w:marBottom w:val="0"/>
                  <w:divBdr>
                    <w:top w:val="none" w:sz="0" w:space="0" w:color="auto"/>
                    <w:left w:val="none" w:sz="0" w:space="0" w:color="auto"/>
                    <w:bottom w:val="none" w:sz="0" w:space="0" w:color="auto"/>
                    <w:right w:val="none" w:sz="0" w:space="0" w:color="auto"/>
                  </w:divBdr>
                  <w:divsChild>
                    <w:div w:id="709499688">
                      <w:marLeft w:val="0"/>
                      <w:marRight w:val="0"/>
                      <w:marTop w:val="0"/>
                      <w:marBottom w:val="300"/>
                      <w:divBdr>
                        <w:top w:val="none" w:sz="0" w:space="0" w:color="auto"/>
                        <w:left w:val="none" w:sz="0" w:space="0" w:color="auto"/>
                        <w:bottom w:val="none" w:sz="0" w:space="0" w:color="auto"/>
                        <w:right w:val="none" w:sz="0" w:space="0" w:color="auto"/>
                      </w:divBdr>
                      <w:divsChild>
                        <w:div w:id="890044667">
                          <w:marLeft w:val="0"/>
                          <w:marRight w:val="0"/>
                          <w:marTop w:val="300"/>
                          <w:marBottom w:val="0"/>
                          <w:divBdr>
                            <w:top w:val="none" w:sz="0" w:space="0" w:color="auto"/>
                            <w:left w:val="none" w:sz="0" w:space="0" w:color="auto"/>
                            <w:bottom w:val="none" w:sz="0" w:space="0" w:color="auto"/>
                            <w:right w:val="none" w:sz="0" w:space="0" w:color="auto"/>
                          </w:divBdr>
                          <w:divsChild>
                            <w:div w:id="1078674068">
                              <w:marLeft w:val="0"/>
                              <w:marRight w:val="0"/>
                              <w:marTop w:val="0"/>
                              <w:marBottom w:val="0"/>
                              <w:divBdr>
                                <w:top w:val="none" w:sz="0" w:space="0" w:color="auto"/>
                                <w:left w:val="none" w:sz="0" w:space="0" w:color="auto"/>
                                <w:bottom w:val="none" w:sz="0" w:space="0" w:color="auto"/>
                                <w:right w:val="none" w:sz="0" w:space="0" w:color="auto"/>
                              </w:divBdr>
                              <w:divsChild>
                                <w:div w:id="1338923449">
                                  <w:marLeft w:val="0"/>
                                  <w:marRight w:val="0"/>
                                  <w:marTop w:val="0"/>
                                  <w:marBottom w:val="0"/>
                                  <w:divBdr>
                                    <w:top w:val="none" w:sz="0" w:space="0" w:color="auto"/>
                                    <w:left w:val="none" w:sz="0" w:space="0" w:color="auto"/>
                                    <w:bottom w:val="none" w:sz="0" w:space="0" w:color="auto"/>
                                    <w:right w:val="none" w:sz="0" w:space="0" w:color="auto"/>
                                  </w:divBdr>
                                  <w:divsChild>
                                    <w:div w:id="883298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63048303">
      <w:bodyDiv w:val="1"/>
      <w:marLeft w:val="0"/>
      <w:marRight w:val="0"/>
      <w:marTop w:val="0"/>
      <w:marBottom w:val="0"/>
      <w:divBdr>
        <w:top w:val="none" w:sz="0" w:space="0" w:color="auto"/>
        <w:left w:val="none" w:sz="0" w:space="0" w:color="auto"/>
        <w:bottom w:val="none" w:sz="0" w:space="0" w:color="auto"/>
        <w:right w:val="none" w:sz="0" w:space="0" w:color="auto"/>
      </w:divBdr>
      <w:divsChild>
        <w:div w:id="821195132">
          <w:marLeft w:val="0"/>
          <w:marRight w:val="0"/>
          <w:marTop w:val="0"/>
          <w:marBottom w:val="330"/>
          <w:divBdr>
            <w:top w:val="none" w:sz="0" w:space="0" w:color="auto"/>
            <w:left w:val="none" w:sz="0" w:space="0" w:color="auto"/>
            <w:bottom w:val="none" w:sz="0" w:space="0" w:color="auto"/>
            <w:right w:val="none" w:sz="0" w:space="0" w:color="auto"/>
          </w:divBdr>
        </w:div>
      </w:divsChild>
    </w:div>
    <w:div w:id="1973364706">
      <w:bodyDiv w:val="1"/>
      <w:marLeft w:val="0"/>
      <w:marRight w:val="0"/>
      <w:marTop w:val="0"/>
      <w:marBottom w:val="0"/>
      <w:divBdr>
        <w:top w:val="none" w:sz="0" w:space="0" w:color="auto"/>
        <w:left w:val="none" w:sz="0" w:space="0" w:color="auto"/>
        <w:bottom w:val="none" w:sz="0" w:space="0" w:color="auto"/>
        <w:right w:val="none" w:sz="0" w:space="0" w:color="auto"/>
      </w:divBdr>
      <w:divsChild>
        <w:div w:id="1806460488">
          <w:marLeft w:val="0"/>
          <w:marRight w:val="0"/>
          <w:marTop w:val="0"/>
          <w:marBottom w:val="0"/>
          <w:divBdr>
            <w:top w:val="none" w:sz="0" w:space="0" w:color="auto"/>
            <w:left w:val="none" w:sz="0" w:space="0" w:color="auto"/>
            <w:bottom w:val="none" w:sz="0" w:space="0" w:color="auto"/>
            <w:right w:val="none" w:sz="0" w:space="0" w:color="auto"/>
          </w:divBdr>
          <w:divsChild>
            <w:div w:id="749889606">
              <w:marLeft w:val="0"/>
              <w:marRight w:val="0"/>
              <w:marTop w:val="0"/>
              <w:marBottom w:val="0"/>
              <w:divBdr>
                <w:top w:val="none" w:sz="0" w:space="0" w:color="auto"/>
                <w:left w:val="none" w:sz="0" w:space="0" w:color="auto"/>
                <w:bottom w:val="none" w:sz="0" w:space="0" w:color="auto"/>
                <w:right w:val="none" w:sz="0" w:space="0" w:color="auto"/>
              </w:divBdr>
              <w:divsChild>
                <w:div w:id="833880549">
                  <w:marLeft w:val="0"/>
                  <w:marRight w:val="0"/>
                  <w:marTop w:val="0"/>
                  <w:marBottom w:val="0"/>
                  <w:divBdr>
                    <w:top w:val="none" w:sz="0" w:space="0" w:color="auto"/>
                    <w:left w:val="none" w:sz="0" w:space="0" w:color="auto"/>
                    <w:bottom w:val="none" w:sz="0" w:space="0" w:color="auto"/>
                    <w:right w:val="none" w:sz="0" w:space="0" w:color="auto"/>
                  </w:divBdr>
                  <w:divsChild>
                    <w:div w:id="680739632">
                      <w:marLeft w:val="0"/>
                      <w:marRight w:val="0"/>
                      <w:marTop w:val="0"/>
                      <w:marBottom w:val="300"/>
                      <w:divBdr>
                        <w:top w:val="none" w:sz="0" w:space="0" w:color="auto"/>
                        <w:left w:val="none" w:sz="0" w:space="0" w:color="auto"/>
                        <w:bottom w:val="none" w:sz="0" w:space="0" w:color="auto"/>
                        <w:right w:val="none" w:sz="0" w:space="0" w:color="auto"/>
                      </w:divBdr>
                      <w:divsChild>
                        <w:div w:id="397746299">
                          <w:marLeft w:val="0"/>
                          <w:marRight w:val="0"/>
                          <w:marTop w:val="300"/>
                          <w:marBottom w:val="0"/>
                          <w:divBdr>
                            <w:top w:val="none" w:sz="0" w:space="0" w:color="auto"/>
                            <w:left w:val="none" w:sz="0" w:space="0" w:color="auto"/>
                            <w:bottom w:val="none" w:sz="0" w:space="0" w:color="auto"/>
                            <w:right w:val="none" w:sz="0" w:space="0" w:color="auto"/>
                          </w:divBdr>
                          <w:divsChild>
                            <w:div w:id="1763643781">
                              <w:marLeft w:val="0"/>
                              <w:marRight w:val="0"/>
                              <w:marTop w:val="0"/>
                              <w:marBottom w:val="0"/>
                              <w:divBdr>
                                <w:top w:val="none" w:sz="0" w:space="0" w:color="auto"/>
                                <w:left w:val="none" w:sz="0" w:space="0" w:color="auto"/>
                                <w:bottom w:val="none" w:sz="0" w:space="0" w:color="auto"/>
                                <w:right w:val="none" w:sz="0" w:space="0" w:color="auto"/>
                              </w:divBdr>
                              <w:divsChild>
                                <w:div w:id="1433209873">
                                  <w:marLeft w:val="0"/>
                                  <w:marRight w:val="0"/>
                                  <w:marTop w:val="0"/>
                                  <w:marBottom w:val="0"/>
                                  <w:divBdr>
                                    <w:top w:val="none" w:sz="0" w:space="0" w:color="auto"/>
                                    <w:left w:val="none" w:sz="0" w:space="0" w:color="auto"/>
                                    <w:bottom w:val="none" w:sz="0" w:space="0" w:color="auto"/>
                                    <w:right w:val="none" w:sz="0" w:space="0" w:color="auto"/>
                                  </w:divBdr>
                                  <w:divsChild>
                                    <w:div w:id="1795631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349</Words>
  <Characters>1994</Characters>
  <Application>Microsoft Office Word</Application>
  <DocSecurity>0</DocSecurity>
  <Lines>16</Lines>
  <Paragraphs>4</Paragraphs>
  <ScaleCrop>false</ScaleCrop>
  <Company>Microsoft</Company>
  <LinksUpToDate>false</LinksUpToDate>
  <CharactersWithSpaces>2339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webUser</dc:creator>
  <cp:lastModifiedBy>webUser</cp:lastModifiedBy>
  <cp:revision>3</cp:revision>
  <dcterms:created xsi:type="dcterms:W3CDTF">2020-03-04T02:31:00Z</dcterms:created>
  <dcterms:modified xsi:type="dcterms:W3CDTF">2020-03-04T02:31:00Z</dcterms:modified>
</cp:coreProperties>
</file>